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275" w:tblpY="3331"/>
        <w:tblW w:w="52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4"/>
      </w:tblGrid>
      <w:tr w:rsidR="00BB68D8" w:rsidRPr="00BC7328" w:rsidTr="00BB68D8">
        <w:trPr>
          <w:trHeight w:val="3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0A0A0"/>
            <w:vAlign w:val="bottom"/>
          </w:tcPr>
          <w:p w:rsidR="00BB68D8" w:rsidRPr="00BC7328" w:rsidRDefault="00BB68D8" w:rsidP="00BB68D8">
            <w:pPr>
              <w:ind w:left="195"/>
              <w:jc w:val="center"/>
              <w:rPr>
                <w:b/>
                <w:bCs/>
                <w:sz w:val="28"/>
                <w:szCs w:val="28"/>
              </w:rPr>
            </w:pPr>
            <w:r w:rsidRPr="00BC7328">
              <w:rPr>
                <w:b/>
                <w:bCs/>
                <w:sz w:val="28"/>
                <w:szCs w:val="28"/>
                <w:u w:val="single"/>
              </w:rPr>
              <w:t>Listă de verificare a Cererii de Prefinanţare</w:t>
            </w:r>
          </w:p>
          <w:p w:rsidR="00BB68D8" w:rsidRPr="00BC7328" w:rsidRDefault="00BB68D8" w:rsidP="00BB68D8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C7328">
              <w:rPr>
                <w:b/>
                <w:bCs/>
              </w:rPr>
              <w:t xml:space="preserve">  </w:t>
            </w:r>
          </w:p>
        </w:tc>
      </w:tr>
      <w:tr w:rsidR="00BB68D8" w:rsidRPr="00BC7328" w:rsidTr="00BB68D8">
        <w:trPr>
          <w:trHeight w:val="13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BB68D8" w:rsidRDefault="00BB68D8" w:rsidP="00BB6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Autoritatea de Management / Organismul Intermediar……</w:t>
            </w:r>
          </w:p>
          <w:p w:rsidR="00BB68D8" w:rsidRDefault="00BB68D8" w:rsidP="00BB6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Axă Prioritară:</w:t>
            </w:r>
          </w:p>
          <w:p w:rsidR="00BB68D8" w:rsidRDefault="00BB68D8" w:rsidP="00BB6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Prioritatea de investiţii:</w:t>
            </w:r>
          </w:p>
          <w:p w:rsidR="00BB68D8" w:rsidRPr="00BC7328" w:rsidRDefault="00BB68D8" w:rsidP="00BB68D8">
            <w:r>
              <w:rPr>
                <w:sz w:val="22"/>
                <w:szCs w:val="22"/>
              </w:rPr>
              <w:t xml:space="preserve">Acţiunea: </w:t>
            </w:r>
          </w:p>
          <w:p w:rsidR="00BB68D8" w:rsidRDefault="00BB68D8" w:rsidP="00BB68D8">
            <w:pPr>
              <w:rPr>
                <w:sz w:val="22"/>
                <w:szCs w:val="22"/>
              </w:rPr>
            </w:pPr>
          </w:p>
          <w:p w:rsidR="00BB68D8" w:rsidRDefault="00BB68D8" w:rsidP="00BB68D8">
            <w:r>
              <w:rPr>
                <w:sz w:val="22"/>
                <w:szCs w:val="22"/>
              </w:rPr>
              <w:t>Numărul c</w:t>
            </w:r>
            <w:r w:rsidRPr="00BC7328">
              <w:rPr>
                <w:sz w:val="22"/>
                <w:szCs w:val="22"/>
              </w:rPr>
              <w:t xml:space="preserve">ererii de </w:t>
            </w:r>
            <w:r>
              <w:rPr>
                <w:sz w:val="22"/>
                <w:szCs w:val="22"/>
              </w:rPr>
              <w:t>prefinanţare:</w:t>
            </w:r>
          </w:p>
          <w:p w:rsidR="00BB68D8" w:rsidRDefault="00BB68D8" w:rsidP="00BB6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primirii cererii de p</w:t>
            </w:r>
            <w:r w:rsidRPr="00BC7328">
              <w:rPr>
                <w:sz w:val="22"/>
                <w:szCs w:val="22"/>
              </w:rPr>
              <w:t xml:space="preserve">refinanţare: </w:t>
            </w:r>
          </w:p>
          <w:p w:rsidR="00BB68D8" w:rsidRPr="004846A1" w:rsidRDefault="00BB68D8" w:rsidP="00BB6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Perioada de referinţă a cererii de prefinanţare</w:t>
            </w:r>
            <w:r w:rsidRPr="004846A1">
              <w:rPr>
                <w:sz w:val="22"/>
                <w:szCs w:val="22"/>
              </w:rPr>
              <w:t>:</w:t>
            </w:r>
          </w:p>
          <w:p w:rsidR="00BB68D8" w:rsidRPr="00BC7328" w:rsidRDefault="00BB68D8" w:rsidP="00BB68D8">
            <w:pPr>
              <w:rPr>
                <w:sz w:val="20"/>
                <w:szCs w:val="20"/>
              </w:rPr>
            </w:pPr>
          </w:p>
          <w:p w:rsidR="00BB68D8" w:rsidRPr="00BC7328" w:rsidRDefault="00BB68D8" w:rsidP="00BB68D8">
            <w:pPr>
              <w:rPr>
                <w:b/>
                <w:bCs/>
              </w:rPr>
            </w:pPr>
            <w:r w:rsidRPr="00BC7328">
              <w:rPr>
                <w:b/>
                <w:bCs/>
                <w:sz w:val="22"/>
                <w:szCs w:val="22"/>
              </w:rPr>
              <w:t xml:space="preserve">Identificarea proiectului şi a </w:t>
            </w:r>
            <w:r>
              <w:rPr>
                <w:b/>
                <w:bCs/>
                <w:sz w:val="22"/>
                <w:szCs w:val="22"/>
              </w:rPr>
              <w:t>b</w:t>
            </w:r>
            <w:r w:rsidRPr="00BC7328">
              <w:rPr>
                <w:b/>
                <w:bCs/>
                <w:sz w:val="22"/>
                <w:szCs w:val="22"/>
              </w:rPr>
              <w:t>eneficiarului:</w:t>
            </w:r>
          </w:p>
          <w:p w:rsidR="00BB68D8" w:rsidRDefault="00BB68D8" w:rsidP="00BB68D8">
            <w:r w:rsidRPr="00BC73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umele şi adresa beneficiarului:</w:t>
            </w:r>
          </w:p>
          <w:p w:rsidR="00BB68D8" w:rsidRPr="00BC7328" w:rsidRDefault="00BB68D8" w:rsidP="00BB68D8">
            <w:r>
              <w:rPr>
                <w:sz w:val="22"/>
                <w:szCs w:val="22"/>
              </w:rPr>
              <w:t>Titlul</w:t>
            </w:r>
            <w:r w:rsidRPr="00BC7328">
              <w:rPr>
                <w:sz w:val="22"/>
                <w:szCs w:val="22"/>
              </w:rPr>
              <w:t xml:space="preserve"> proiectului:</w:t>
            </w:r>
          </w:p>
          <w:p w:rsidR="00BB68D8" w:rsidRDefault="00BB68D8" w:rsidP="00BB68D8">
            <w:r w:rsidRPr="00BC7328">
              <w:rPr>
                <w:sz w:val="22"/>
                <w:szCs w:val="22"/>
              </w:rPr>
              <w:t>Codul SMIS al proiectului:</w:t>
            </w:r>
          </w:p>
          <w:p w:rsidR="00BB68D8" w:rsidRDefault="00BB68D8" w:rsidP="00BB68D8">
            <w:r>
              <w:rPr>
                <w:sz w:val="22"/>
                <w:szCs w:val="22"/>
              </w:rPr>
              <w:t>Numărul contractului de finanţare:</w:t>
            </w:r>
          </w:p>
          <w:p w:rsidR="00BB68D8" w:rsidRDefault="00BB68D8" w:rsidP="00BB68D8">
            <w:pPr>
              <w:rPr>
                <w:sz w:val="22"/>
                <w:szCs w:val="22"/>
              </w:rPr>
            </w:pPr>
            <w:r w:rsidRPr="00BC7328">
              <w:rPr>
                <w:sz w:val="22"/>
                <w:szCs w:val="22"/>
              </w:rPr>
              <w:t>Data semn</w:t>
            </w:r>
            <w:r>
              <w:rPr>
                <w:sz w:val="22"/>
                <w:szCs w:val="22"/>
              </w:rPr>
              <w:t>ării contractului de finanţare:</w:t>
            </w:r>
          </w:p>
          <w:p w:rsidR="00BB68D8" w:rsidRPr="00BC7328" w:rsidRDefault="00BB68D8" w:rsidP="00BB68D8">
            <w:pPr>
              <w:rPr>
                <w:b/>
                <w:bCs/>
                <w:color w:val="000000"/>
                <w:sz w:val="16"/>
                <w:szCs w:val="16"/>
                <w:u w:val="single"/>
              </w:rPr>
            </w:pPr>
          </w:p>
        </w:tc>
      </w:tr>
    </w:tbl>
    <w:tbl>
      <w:tblPr>
        <w:tblW w:w="5307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1653"/>
        <w:gridCol w:w="2836"/>
        <w:gridCol w:w="615"/>
        <w:gridCol w:w="615"/>
        <w:gridCol w:w="611"/>
        <w:gridCol w:w="2880"/>
      </w:tblGrid>
      <w:tr w:rsidR="00BB68D8" w:rsidRPr="00BC7328" w:rsidTr="00BB68D8">
        <w:trPr>
          <w:trHeight w:val="1014"/>
          <w:tblHeader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  <w:color w:val="FFFFFF"/>
              </w:rPr>
            </w:pPr>
            <w:bookmarkStart w:id="0" w:name="_GoBack" w:colFirst="0" w:colLast="0"/>
            <w:r w:rsidRPr="00BC7328">
              <w:rPr>
                <w:b/>
                <w:bCs/>
                <w:color w:val="FFFFFF"/>
                <w:sz w:val="22"/>
                <w:szCs w:val="22"/>
              </w:rPr>
              <w:t>Nr. Crt.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  <w:color w:val="FFFFFF"/>
              </w:rPr>
            </w:pPr>
            <w:r w:rsidRPr="00BC7328">
              <w:rPr>
                <w:b/>
                <w:bCs/>
                <w:color w:val="FFFFFF"/>
                <w:sz w:val="22"/>
                <w:szCs w:val="22"/>
              </w:rPr>
              <w:t>DA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BB68D8" w:rsidRPr="00CC260A" w:rsidRDefault="00BB68D8" w:rsidP="00F336F1">
            <w:pPr>
              <w:jc w:val="center"/>
              <w:rPr>
                <w:bCs/>
                <w:color w:val="FFFFFF"/>
              </w:rPr>
            </w:pPr>
            <w:r w:rsidRPr="00CC260A">
              <w:rPr>
                <w:b/>
                <w:bCs/>
                <w:color w:val="FFFFFF"/>
                <w:sz w:val="22"/>
                <w:szCs w:val="22"/>
              </w:rPr>
              <w:t>NU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</w:tcPr>
          <w:p w:rsidR="00BB68D8" w:rsidRDefault="00BB68D8" w:rsidP="00F336F1">
            <w:pPr>
              <w:rPr>
                <w:b/>
                <w:bCs/>
                <w:color w:val="FFFFFF"/>
                <w:sz w:val="18"/>
                <w:szCs w:val="18"/>
              </w:rPr>
            </w:pPr>
          </w:p>
          <w:p w:rsidR="00BB68D8" w:rsidRDefault="00BB68D8" w:rsidP="00F336F1">
            <w:pPr>
              <w:rPr>
                <w:sz w:val="18"/>
                <w:szCs w:val="18"/>
              </w:rPr>
            </w:pPr>
          </w:p>
          <w:p w:rsidR="00BB68D8" w:rsidRPr="003522A5" w:rsidRDefault="00BB68D8" w:rsidP="00F336F1">
            <w:pPr>
              <w:jc w:val="center"/>
              <w:rPr>
                <w:sz w:val="18"/>
                <w:szCs w:val="18"/>
              </w:rPr>
            </w:pPr>
            <w:r w:rsidRPr="003522A5">
              <w:rPr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</w:tcPr>
          <w:p w:rsidR="00BB68D8" w:rsidRDefault="00BB68D8" w:rsidP="00F336F1">
            <w:pPr>
              <w:rPr>
                <w:b/>
                <w:bCs/>
                <w:color w:val="FFFFFF"/>
              </w:rPr>
            </w:pPr>
            <w:r w:rsidRPr="005E4EEA">
              <w:rPr>
                <w:b/>
                <w:bCs/>
                <w:color w:val="FFFFFF"/>
                <w:sz w:val="18"/>
                <w:szCs w:val="18"/>
              </w:rPr>
              <w:t>Observa</w:t>
            </w:r>
            <w:r w:rsidRPr="005E4EEA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ț</w:t>
            </w:r>
            <w:r w:rsidRPr="005E4EEA">
              <w:rPr>
                <w:b/>
                <w:bCs/>
                <w:color w:val="FFFFFF"/>
                <w:sz w:val="18"/>
                <w:szCs w:val="18"/>
              </w:rPr>
              <w:t>ii</w:t>
            </w:r>
          </w:p>
        </w:tc>
      </w:tr>
      <w:tr w:rsidR="00BB68D8" w:rsidRPr="00BC7328" w:rsidTr="00BB68D8">
        <w:trPr>
          <w:trHeight w:val="439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  <w:i/>
                <w:iCs/>
              </w:rPr>
            </w:pPr>
            <w:r w:rsidRPr="00BC7328">
              <w:rPr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46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B68D8" w:rsidRPr="00BC7328" w:rsidRDefault="00BB68D8" w:rsidP="00F336F1">
            <w:pPr>
              <w:jc w:val="both"/>
              <w:rPr>
                <w:b/>
                <w:bCs/>
                <w:i/>
                <w:iCs/>
              </w:rPr>
            </w:pP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</w:rPr>
            </w:pPr>
            <w:r w:rsidRPr="00BC7328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46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1.1.1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Pr="005F17D2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Se verifică:</w:t>
            </w:r>
          </w:p>
          <w:p w:rsidR="00BB68D8" w:rsidRPr="005F17D2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- respectarea formatului stabilit prin contractul de finanţare actualizat conform Instrucţiunilor AM POC, dacă este cazul;</w:t>
            </w:r>
          </w:p>
          <w:p w:rsidR="00BB68D8" w:rsidRPr="005F17D2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 xml:space="preserve">- completarea tuturor câmpurilor cererii de prefinanţare  în conformitate cu Instrucţiunile AM POC; </w:t>
            </w:r>
          </w:p>
          <w:p w:rsidR="00BB68D8" w:rsidRPr="005F17D2" w:rsidRDefault="00BB68D8" w:rsidP="00F336F1">
            <w:pPr>
              <w:jc w:val="both"/>
              <w:rPr>
                <w:b/>
                <w:bCs/>
              </w:rPr>
            </w:pPr>
            <w:r w:rsidRPr="005F17D2">
              <w:rPr>
                <w:sz w:val="20"/>
                <w:szCs w:val="20"/>
              </w:rPr>
              <w:t xml:space="preserve">În cazul în care răspunsul este „NU” cererea de prefinanţare va fi respinsă </w:t>
            </w:r>
            <w:r>
              <w:rPr>
                <w:sz w:val="20"/>
                <w:szCs w:val="20"/>
              </w:rPr>
              <w:t>şi se solicită beneficiarului refacerea formularului;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1.1.2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ă:</w:t>
            </w:r>
          </w:p>
          <w:p w:rsidR="00BB68D8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semnarea şi ştampilarea cererii de prefinanţare în conformitate cu I</w:t>
            </w:r>
            <w:r w:rsidRPr="000B6FF7">
              <w:rPr>
                <w:sz w:val="20"/>
                <w:szCs w:val="20"/>
              </w:rPr>
              <w:t xml:space="preserve">nstrucţiunile </w:t>
            </w:r>
            <w:r>
              <w:rPr>
                <w:sz w:val="20"/>
                <w:szCs w:val="20"/>
              </w:rPr>
              <w:t>AM POC</w:t>
            </w:r>
            <w:r w:rsidRPr="000B6FF7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B6FF7">
              <w:rPr>
                <w:sz w:val="20"/>
                <w:szCs w:val="20"/>
              </w:rPr>
              <w:t xml:space="preserve">In cazul </w:t>
            </w:r>
            <w:r>
              <w:rPr>
                <w:sz w:val="20"/>
                <w:szCs w:val="20"/>
              </w:rPr>
              <w:t>î</w:t>
            </w:r>
            <w:r w:rsidRPr="000B6FF7">
              <w:rPr>
                <w:sz w:val="20"/>
                <w:szCs w:val="20"/>
              </w:rPr>
              <w:t>n care r</w:t>
            </w:r>
            <w:r>
              <w:rPr>
                <w:sz w:val="20"/>
                <w:szCs w:val="20"/>
              </w:rPr>
              <w:t>ă</w:t>
            </w:r>
            <w:r w:rsidRPr="000B6FF7">
              <w:rPr>
                <w:sz w:val="20"/>
                <w:szCs w:val="20"/>
              </w:rPr>
              <w:t xml:space="preserve">spunsul este „NU” </w:t>
            </w:r>
            <w:r>
              <w:rPr>
                <w:sz w:val="20"/>
                <w:szCs w:val="20"/>
              </w:rPr>
              <w:t xml:space="preserve">cererea de prefinanţare </w:t>
            </w:r>
            <w:r w:rsidRPr="000B6FF7">
              <w:rPr>
                <w:sz w:val="20"/>
                <w:szCs w:val="20"/>
              </w:rPr>
              <w:t xml:space="preserve">va fi </w:t>
            </w:r>
            <w:r w:rsidRPr="000B6FF7">
              <w:rPr>
                <w:sz w:val="20"/>
                <w:szCs w:val="20"/>
              </w:rPr>
              <w:lastRenderedPageBreak/>
              <w:t>respins</w:t>
            </w:r>
            <w:r>
              <w:rPr>
                <w:sz w:val="20"/>
                <w:szCs w:val="20"/>
              </w:rPr>
              <w:t>ă</w:t>
            </w:r>
            <w:r w:rsidRPr="000B6F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şi se solicită beneficiarului refacerea formularului;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ă: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8644A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644AA">
              <w:rPr>
                <w:sz w:val="20"/>
                <w:szCs w:val="20"/>
              </w:rPr>
              <w:t>coresponden</w:t>
            </w:r>
            <w:r>
              <w:rPr>
                <w:sz w:val="20"/>
                <w:szCs w:val="20"/>
              </w:rPr>
              <w:t>ţ</w:t>
            </w:r>
            <w:r w:rsidRPr="008644AA">
              <w:rPr>
                <w:sz w:val="20"/>
                <w:szCs w:val="20"/>
              </w:rPr>
              <w:t xml:space="preserve">a dintre datele menţionate în cererea de </w:t>
            </w:r>
            <w:r>
              <w:rPr>
                <w:sz w:val="20"/>
                <w:szCs w:val="20"/>
              </w:rPr>
              <w:t xml:space="preserve">prefinanţare şi cele din </w:t>
            </w:r>
            <w:r w:rsidRPr="008644AA">
              <w:rPr>
                <w:sz w:val="20"/>
                <w:szCs w:val="20"/>
              </w:rPr>
              <w:t>contractul de finanţare</w:t>
            </w:r>
            <w:r>
              <w:rPr>
                <w:sz w:val="20"/>
                <w:szCs w:val="20"/>
              </w:rPr>
              <w:t>, cu modificările ulterioare;</w:t>
            </w:r>
          </w:p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Î</w:t>
            </w:r>
            <w:r w:rsidRPr="00602D08">
              <w:rPr>
                <w:sz w:val="20"/>
                <w:szCs w:val="20"/>
              </w:rPr>
              <w:t xml:space="preserve">n cazul </w:t>
            </w:r>
            <w:r>
              <w:rPr>
                <w:sz w:val="20"/>
                <w:szCs w:val="20"/>
              </w:rPr>
              <w:t>î</w:t>
            </w:r>
            <w:r w:rsidRPr="00602D08">
              <w:rPr>
                <w:sz w:val="20"/>
                <w:szCs w:val="20"/>
              </w:rPr>
              <w:t>n care r</w:t>
            </w:r>
            <w:r>
              <w:rPr>
                <w:sz w:val="20"/>
                <w:szCs w:val="20"/>
              </w:rPr>
              <w:t>ă</w:t>
            </w:r>
            <w:r w:rsidRPr="00602D08">
              <w:rPr>
                <w:sz w:val="20"/>
                <w:szCs w:val="20"/>
              </w:rPr>
              <w:t xml:space="preserve">spunsul este „NU” </w:t>
            </w:r>
            <w:r>
              <w:rPr>
                <w:sz w:val="20"/>
                <w:szCs w:val="20"/>
              </w:rPr>
              <w:t>cererea de prefinanţare</w:t>
            </w:r>
            <w:r w:rsidRPr="00602D08">
              <w:rPr>
                <w:sz w:val="20"/>
                <w:szCs w:val="20"/>
              </w:rPr>
              <w:t xml:space="preserve"> va fi respins</w:t>
            </w:r>
            <w:r>
              <w:rPr>
                <w:sz w:val="20"/>
                <w:szCs w:val="20"/>
              </w:rPr>
              <w:t>ă</w:t>
            </w:r>
            <w:r w:rsidRPr="00602D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şi se solicită beneficiarului refacerea formularului;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1.1.4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ă: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8644A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644AA">
              <w:rPr>
                <w:sz w:val="20"/>
                <w:szCs w:val="20"/>
              </w:rPr>
              <w:t>coresponden</w:t>
            </w:r>
            <w:r>
              <w:rPr>
                <w:sz w:val="20"/>
                <w:szCs w:val="20"/>
              </w:rPr>
              <w:t>ţ</w:t>
            </w:r>
            <w:r w:rsidRPr="008644AA">
              <w:rPr>
                <w:sz w:val="20"/>
                <w:szCs w:val="20"/>
              </w:rPr>
              <w:t xml:space="preserve">a dintre datele menţionate în cererea de </w:t>
            </w:r>
            <w:r>
              <w:rPr>
                <w:sz w:val="20"/>
                <w:szCs w:val="20"/>
              </w:rPr>
              <w:t xml:space="preserve">prefinanţare şi cele din </w:t>
            </w:r>
            <w:r w:rsidRPr="008644AA">
              <w:rPr>
                <w:sz w:val="20"/>
                <w:szCs w:val="20"/>
              </w:rPr>
              <w:t>contractul de finanţare</w:t>
            </w:r>
            <w:r>
              <w:rPr>
                <w:sz w:val="20"/>
                <w:szCs w:val="20"/>
              </w:rPr>
              <w:t xml:space="preserve">, cu </w:t>
            </w:r>
            <w:r w:rsidRPr="005F17D2">
              <w:rPr>
                <w:sz w:val="20"/>
                <w:szCs w:val="20"/>
              </w:rPr>
              <w:t>modificările</w:t>
            </w:r>
            <w:r>
              <w:rPr>
                <w:sz w:val="20"/>
                <w:szCs w:val="20"/>
              </w:rPr>
              <w:t xml:space="preserve"> ulterioare;</w:t>
            </w:r>
          </w:p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Î</w:t>
            </w:r>
            <w:r w:rsidRPr="00602D08">
              <w:rPr>
                <w:sz w:val="20"/>
                <w:szCs w:val="20"/>
              </w:rPr>
              <w:t xml:space="preserve">n cazul </w:t>
            </w:r>
            <w:r>
              <w:rPr>
                <w:sz w:val="20"/>
                <w:szCs w:val="20"/>
              </w:rPr>
              <w:t>î</w:t>
            </w:r>
            <w:r w:rsidRPr="00602D08">
              <w:rPr>
                <w:sz w:val="20"/>
                <w:szCs w:val="20"/>
              </w:rPr>
              <w:t>n care r</w:t>
            </w:r>
            <w:r>
              <w:rPr>
                <w:sz w:val="20"/>
                <w:szCs w:val="20"/>
              </w:rPr>
              <w:t>ă</w:t>
            </w:r>
            <w:r w:rsidRPr="00602D08">
              <w:rPr>
                <w:sz w:val="20"/>
                <w:szCs w:val="20"/>
              </w:rPr>
              <w:t xml:space="preserve">spunsul este „NU” </w:t>
            </w:r>
            <w:r>
              <w:rPr>
                <w:sz w:val="20"/>
                <w:szCs w:val="20"/>
              </w:rPr>
              <w:t>cererea de prefinanţare</w:t>
            </w:r>
            <w:r w:rsidRPr="00602D08">
              <w:rPr>
                <w:sz w:val="20"/>
                <w:szCs w:val="20"/>
              </w:rPr>
              <w:t xml:space="preserve"> va fi respins</w:t>
            </w:r>
            <w:r>
              <w:rPr>
                <w:sz w:val="20"/>
                <w:szCs w:val="20"/>
              </w:rPr>
              <w:t>ă</w:t>
            </w:r>
            <w:r w:rsidRPr="00602D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şi se solicită beneficiarului refacerea formularului;</w:t>
            </w:r>
          </w:p>
        </w:tc>
      </w:tr>
      <w:tr w:rsidR="00BB68D8" w:rsidRPr="005F17D2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1.1.5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Pr="005F17D2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Se verifică:</w:t>
            </w:r>
          </w:p>
          <w:p w:rsidR="00BB68D8" w:rsidRPr="005F17D2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- corespondenţa dintre datele menţionate în cererea de prefinanţare şi cele din contractul de finanţare, cu modificările ulterioare;</w:t>
            </w:r>
          </w:p>
          <w:p w:rsidR="00BB68D8" w:rsidRPr="005F17D2" w:rsidRDefault="00BB68D8" w:rsidP="00F336F1">
            <w:pPr>
              <w:jc w:val="both"/>
              <w:rPr>
                <w:b/>
                <w:bCs/>
              </w:rPr>
            </w:pPr>
            <w:r w:rsidRPr="005F17D2">
              <w:rPr>
                <w:sz w:val="20"/>
                <w:szCs w:val="20"/>
              </w:rPr>
              <w:t xml:space="preserve">În cazul în care răspunsul este „NU” cererea de prefinanţare va fi respinsă </w:t>
            </w:r>
            <w:r>
              <w:rPr>
                <w:sz w:val="20"/>
                <w:szCs w:val="20"/>
              </w:rPr>
              <w:t>şi se solicită beneficiarului refacerea formularului;</w:t>
            </w:r>
          </w:p>
        </w:tc>
      </w:tr>
      <w:tr w:rsidR="00BB68D8" w:rsidRPr="00BC7328" w:rsidTr="00BB68D8">
        <w:trPr>
          <w:trHeight w:val="7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1.1.6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tabs>
                <w:tab w:val="left" w:pos="10032"/>
                <w:tab w:val="left" w:pos="10089"/>
              </w:tabs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ă:</w:t>
            </w:r>
          </w:p>
          <w:p w:rsidR="00BB68D8" w:rsidRPr="00091B3A" w:rsidRDefault="00BB68D8" w:rsidP="00F336F1">
            <w:pPr>
              <w:jc w:val="both"/>
              <w:rPr>
                <w:sz w:val="20"/>
                <w:szCs w:val="20"/>
              </w:rPr>
            </w:pPr>
            <w:r w:rsidRPr="003C71B5">
              <w:rPr>
                <w:sz w:val="20"/>
                <w:szCs w:val="20"/>
              </w:rPr>
              <w:t>- prezentarea documentelor suport in ordinea cheltuieli</w:t>
            </w:r>
            <w:r w:rsidRPr="00D86772">
              <w:rPr>
                <w:sz w:val="20"/>
                <w:szCs w:val="20"/>
              </w:rPr>
              <w:t xml:space="preserve">lor din formularul cererii de </w:t>
            </w:r>
            <w:r w:rsidRPr="00262770">
              <w:rPr>
                <w:sz w:val="20"/>
                <w:szCs w:val="20"/>
              </w:rPr>
              <w:t>prefinanţare</w:t>
            </w:r>
            <w:r w:rsidRPr="00091B3A">
              <w:rPr>
                <w:sz w:val="20"/>
                <w:szCs w:val="20"/>
              </w:rPr>
              <w:t>;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6C16C2">
              <w:rPr>
                <w:sz w:val="20"/>
                <w:szCs w:val="20"/>
              </w:rPr>
              <w:t>- corespondenţa documentelor cu opis-ul dosarului cererii de prefinanţare;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B0088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02D08">
              <w:rPr>
                <w:sz w:val="20"/>
                <w:szCs w:val="20"/>
              </w:rPr>
              <w:t>dacă documentele ataşate sunt cele prevăzute în contractul de finanţare</w:t>
            </w:r>
            <w:r>
              <w:rPr>
                <w:sz w:val="20"/>
                <w:szCs w:val="20"/>
              </w:rPr>
              <w:t>, cu modificarile ulterioare;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</w:p>
          <w:p w:rsidR="00BB68D8" w:rsidRPr="00945F78" w:rsidRDefault="00BB68D8" w:rsidP="00F336F1">
            <w:pPr>
              <w:pStyle w:val="CommentText"/>
            </w:pPr>
            <w:r w:rsidRPr="005F17D2">
              <w:t>În cazul în care răspunsul este „NU” cerere</w:t>
            </w:r>
            <w:r>
              <w:t xml:space="preserve">a de prefinanţare va fi </w:t>
            </w:r>
            <w:r w:rsidRPr="006C16C2">
              <w:t>suspendată</w:t>
            </w:r>
            <w:r>
              <w:t xml:space="preserve"> până la depunerea </w:t>
            </w:r>
            <w:r>
              <w:lastRenderedPageBreak/>
              <w:t>de către beneficiar, în termen,</w:t>
            </w:r>
            <w:r w:rsidRPr="005F17D2">
              <w:t xml:space="preserve"> </w:t>
            </w:r>
            <w:r>
              <w:t>a documentelor solicitate. Dacă răspunsul la clarificări nu este corespunzător, cererea de prefinanțare se respinge.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lastRenderedPageBreak/>
              <w:t>1.1.7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  <w:r w:rsidRPr="00BC7328">
              <w:rPr>
                <w:b/>
                <w:bCs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034867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</w:t>
            </w:r>
            <w:r w:rsidRPr="00034867">
              <w:rPr>
                <w:sz w:val="20"/>
                <w:szCs w:val="20"/>
              </w:rPr>
              <w:t>: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64785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c</w:t>
            </w:r>
            <w:r w:rsidRPr="0064785D">
              <w:rPr>
                <w:sz w:val="20"/>
                <w:szCs w:val="20"/>
              </w:rPr>
              <w:t>oresponden</w:t>
            </w:r>
            <w:r>
              <w:rPr>
                <w:sz w:val="20"/>
                <w:szCs w:val="20"/>
              </w:rPr>
              <w:t>ţ</w:t>
            </w:r>
            <w:r w:rsidRPr="0064785D">
              <w:rPr>
                <w:sz w:val="20"/>
                <w:szCs w:val="20"/>
              </w:rPr>
              <w:t xml:space="preserve">a dintre data </w:t>
            </w:r>
            <w:r>
              <w:rPr>
                <w:sz w:val="20"/>
                <w:szCs w:val="20"/>
              </w:rPr>
              <w:t>ş</w:t>
            </w:r>
            <w:r w:rsidRPr="0064785D">
              <w:rPr>
                <w:sz w:val="20"/>
                <w:szCs w:val="20"/>
              </w:rPr>
              <w:t>i perioada de referin</w:t>
            </w:r>
            <w:r>
              <w:rPr>
                <w:sz w:val="20"/>
                <w:szCs w:val="20"/>
              </w:rPr>
              <w:t>ţă</w:t>
            </w:r>
            <w:r w:rsidRPr="0064785D">
              <w:rPr>
                <w:sz w:val="20"/>
                <w:szCs w:val="20"/>
              </w:rPr>
              <w:t xml:space="preserve"> a cererii de </w:t>
            </w:r>
            <w:r>
              <w:rPr>
                <w:sz w:val="20"/>
                <w:szCs w:val="20"/>
              </w:rPr>
              <w:t xml:space="preserve">prefinanţare şi data estimativă de depunere a cererii de prefinanțare din </w:t>
            </w:r>
            <w:r w:rsidRPr="006C16C2">
              <w:rPr>
                <w:sz w:val="20"/>
                <w:szCs w:val="20"/>
              </w:rPr>
              <w:t xml:space="preserve">graficul de depunere a cererilor de prefinanţare/plată/rambursare </w:t>
            </w:r>
            <w:r>
              <w:rPr>
                <w:sz w:val="20"/>
                <w:szCs w:val="20"/>
              </w:rPr>
              <w:t xml:space="preserve">aferent </w:t>
            </w:r>
            <w:r w:rsidRPr="00602D08">
              <w:rPr>
                <w:sz w:val="20"/>
                <w:szCs w:val="20"/>
              </w:rPr>
              <w:t xml:space="preserve"> contractul</w:t>
            </w:r>
            <w:r>
              <w:rPr>
                <w:sz w:val="20"/>
                <w:szCs w:val="20"/>
              </w:rPr>
              <w:t>ui</w:t>
            </w:r>
            <w:r w:rsidRPr="00602D08">
              <w:rPr>
                <w:sz w:val="20"/>
                <w:szCs w:val="20"/>
              </w:rPr>
              <w:t xml:space="preserve"> de finanţare</w:t>
            </w:r>
            <w:r>
              <w:rPr>
                <w:sz w:val="20"/>
                <w:szCs w:val="20"/>
              </w:rPr>
              <w:t>, cu modificarile ulterioare;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În cazul în care răspunsul este „NU” cerere</w:t>
            </w:r>
            <w:r>
              <w:rPr>
                <w:sz w:val="20"/>
                <w:szCs w:val="20"/>
              </w:rPr>
              <w:t xml:space="preserve">a de prefinanţare va fi </w:t>
            </w:r>
            <w:r w:rsidRPr="006C16C2">
              <w:rPr>
                <w:sz w:val="20"/>
                <w:szCs w:val="20"/>
              </w:rPr>
              <w:t>suspendată</w:t>
            </w:r>
            <w:r>
              <w:rPr>
                <w:sz w:val="20"/>
                <w:szCs w:val="20"/>
              </w:rPr>
              <w:t xml:space="preserve"> până la depunerea, în termen, de către beneficiar</w:t>
            </w:r>
            <w:r w:rsidRPr="005F17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justificării privind nedepunerea în termen a cererii de prefinanţare;</w:t>
            </w:r>
          </w:p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  <w:r w:rsidRPr="006C16C2">
              <w:rPr>
                <w:sz w:val="20"/>
                <w:szCs w:val="20"/>
              </w:rPr>
              <w:t>Dacă răspunsul la clarificări nu este corespunzător, cererea de prefinanțare se respinge.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7328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BB68D8" w:rsidRDefault="00BB68D8" w:rsidP="00F336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8D8" w:rsidRPr="00A57298" w:rsidRDefault="00BB68D8" w:rsidP="00F336F1">
            <w:pPr>
              <w:rPr>
                <w:b/>
                <w:bCs/>
              </w:rPr>
            </w:pP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1.2.1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C308F2" w:rsidRDefault="00BB68D8" w:rsidP="00F336F1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Pr="005F17D2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Se verifică: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 xml:space="preserve">- documentele justificative </w:t>
            </w:r>
            <w:r>
              <w:rPr>
                <w:sz w:val="20"/>
                <w:szCs w:val="20"/>
              </w:rPr>
              <w:t xml:space="preserve">atașate </w:t>
            </w:r>
            <w:r w:rsidRPr="005F17D2">
              <w:rPr>
                <w:sz w:val="20"/>
                <w:szCs w:val="20"/>
              </w:rPr>
              <w:t>sunt conform</w:t>
            </w:r>
            <w:r>
              <w:rPr>
                <w:sz w:val="20"/>
                <w:szCs w:val="20"/>
              </w:rPr>
              <w:t>e</w:t>
            </w:r>
            <w:r w:rsidRPr="005F17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cu cele prevăzute în </w:t>
            </w:r>
            <w:r w:rsidRPr="005F17D2">
              <w:rPr>
                <w:sz w:val="20"/>
                <w:szCs w:val="20"/>
              </w:rPr>
              <w:t>contractului de finanţare, cu mo</w:t>
            </w:r>
            <w:r>
              <w:rPr>
                <w:sz w:val="20"/>
                <w:szCs w:val="20"/>
              </w:rPr>
              <w:t xml:space="preserve">dificarile ulterioare și sunt </w:t>
            </w:r>
            <w:r w:rsidRPr="005F17D2">
              <w:rPr>
                <w:sz w:val="20"/>
                <w:szCs w:val="20"/>
              </w:rPr>
              <w:t xml:space="preserve"> în copie certificată „conform cu originalul” sub semnătura reprezentantului legal</w:t>
            </w:r>
            <w:r>
              <w:rPr>
                <w:sz w:val="20"/>
                <w:szCs w:val="20"/>
              </w:rPr>
              <w:t>,</w:t>
            </w:r>
            <w:r w:rsidRPr="005F17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Ofiţerul financiar menţionează documentele ataşate la cererea de prefinanţare.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>În cazul în care răspunsul este „NU” cerere</w:t>
            </w:r>
            <w:r>
              <w:rPr>
                <w:sz w:val="20"/>
                <w:szCs w:val="20"/>
              </w:rPr>
              <w:t xml:space="preserve">a de prefinanţare va fi </w:t>
            </w:r>
            <w:r w:rsidRPr="006C16C2">
              <w:rPr>
                <w:sz w:val="20"/>
                <w:szCs w:val="20"/>
              </w:rPr>
              <w:t>suspendată</w:t>
            </w:r>
            <w:r>
              <w:rPr>
                <w:sz w:val="20"/>
                <w:szCs w:val="20"/>
              </w:rPr>
              <w:t xml:space="preserve"> până la depunerea, în termen, de către beneficiar</w:t>
            </w:r>
            <w:r w:rsidRPr="005F17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documentelor solicitate.</w:t>
            </w:r>
          </w:p>
          <w:p w:rsidR="00BB68D8" w:rsidRPr="005F17D2" w:rsidRDefault="00BB68D8" w:rsidP="00F336F1">
            <w:pPr>
              <w:jc w:val="both"/>
              <w:rPr>
                <w:sz w:val="20"/>
                <w:szCs w:val="20"/>
              </w:rPr>
            </w:pPr>
            <w:r w:rsidRPr="005761F5">
              <w:rPr>
                <w:sz w:val="20"/>
                <w:szCs w:val="20"/>
              </w:rPr>
              <w:t xml:space="preserve">Dacă răspunsul la clarificări nu este corespunzător, se </w:t>
            </w:r>
            <w:r>
              <w:rPr>
                <w:sz w:val="20"/>
                <w:szCs w:val="20"/>
              </w:rPr>
              <w:t>vor deduce sumele aferente documentelor neconforme.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C308F2" w:rsidRDefault="00BB68D8" w:rsidP="00F3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034867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</w:t>
            </w:r>
            <w:r w:rsidRPr="00034867">
              <w:rPr>
                <w:sz w:val="20"/>
                <w:szCs w:val="20"/>
              </w:rPr>
              <w:t>: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6239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dacă perioada pentru care se solicită tranşa de prefinanţare nu este mai mare de 3 luni; 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</w:p>
          <w:p w:rsidR="00BB68D8" w:rsidRPr="00E074DA" w:rsidRDefault="00BB68D8" w:rsidP="00F336F1">
            <w:pPr>
              <w:jc w:val="both"/>
              <w:rPr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 xml:space="preserve">În cazul în care răspunsul este „NU” </w:t>
            </w:r>
            <w:r>
              <w:rPr>
                <w:sz w:val="20"/>
                <w:szCs w:val="20"/>
              </w:rPr>
              <w:t xml:space="preserve">din </w:t>
            </w:r>
            <w:r w:rsidRPr="005F17D2">
              <w:rPr>
                <w:sz w:val="20"/>
                <w:szCs w:val="20"/>
              </w:rPr>
              <w:t>cerere</w:t>
            </w:r>
            <w:r>
              <w:rPr>
                <w:sz w:val="20"/>
                <w:szCs w:val="20"/>
              </w:rPr>
              <w:t xml:space="preserve">a de prefinanţare se va reduce valoarea cheltuielilor care depăşeşte perioada de maxim 3 luni de prefinanţare; 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Default="00BB68D8" w:rsidP="00F3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1.2.3</w:t>
            </w:r>
          </w:p>
        </w:tc>
        <w:tc>
          <w:tcPr>
            <w:tcW w:w="2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66A7B" w:rsidRDefault="00BB68D8" w:rsidP="00F3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034867">
              <w:rPr>
                <w:sz w:val="20"/>
                <w:szCs w:val="20"/>
              </w:rPr>
              <w:t>Se verific</w:t>
            </w:r>
            <w:r>
              <w:rPr>
                <w:sz w:val="20"/>
                <w:szCs w:val="20"/>
              </w:rPr>
              <w:t>ă</w:t>
            </w:r>
            <w:r w:rsidRPr="00034867">
              <w:rPr>
                <w:sz w:val="20"/>
                <w:szCs w:val="20"/>
              </w:rPr>
              <w:t>:</w:t>
            </w:r>
          </w:p>
          <w:p w:rsidR="00BB68D8" w:rsidRDefault="00BB68D8" w:rsidP="00F336F1">
            <w:pPr>
              <w:tabs>
                <w:tab w:val="left" w:pos="214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încadrarea în perioada de implementare a cheltuielilor solicitate în ultima cerere de prefinanţare.</w:t>
            </w:r>
          </w:p>
          <w:p w:rsidR="00BB68D8" w:rsidRPr="00BF5932" w:rsidRDefault="00BB68D8" w:rsidP="00F336F1">
            <w:pPr>
              <w:tabs>
                <w:tab w:val="left" w:pos="214"/>
              </w:tabs>
              <w:jc w:val="both"/>
              <w:rPr>
                <w:bCs/>
                <w:sz w:val="20"/>
                <w:szCs w:val="20"/>
              </w:rPr>
            </w:pPr>
          </w:p>
          <w:p w:rsidR="00BB68D8" w:rsidRPr="0066665A" w:rsidRDefault="00BB68D8" w:rsidP="00F336F1">
            <w:pPr>
              <w:jc w:val="both"/>
              <w:rPr>
                <w:bCs/>
                <w:sz w:val="20"/>
                <w:szCs w:val="20"/>
              </w:rPr>
            </w:pPr>
            <w:r w:rsidRPr="005F17D2">
              <w:rPr>
                <w:sz w:val="20"/>
                <w:szCs w:val="20"/>
              </w:rPr>
              <w:t xml:space="preserve">În cazul în care răspunsul este „NU” </w:t>
            </w:r>
            <w:r>
              <w:rPr>
                <w:sz w:val="20"/>
                <w:szCs w:val="20"/>
              </w:rPr>
              <w:t xml:space="preserve">din </w:t>
            </w:r>
            <w:r w:rsidRPr="005F17D2">
              <w:rPr>
                <w:sz w:val="20"/>
                <w:szCs w:val="20"/>
              </w:rPr>
              <w:t>cerere</w:t>
            </w:r>
            <w:r>
              <w:rPr>
                <w:sz w:val="20"/>
                <w:szCs w:val="20"/>
              </w:rPr>
              <w:t>a de prefinanţare se va reduce valoarea cheltuielilor care nu se încadrează în perioada de implementare a contractului de finanţare;</w:t>
            </w:r>
          </w:p>
        </w:tc>
      </w:tr>
      <w:tr w:rsidR="00BB68D8" w:rsidRPr="00BC7328" w:rsidTr="00BB68D8">
        <w:trPr>
          <w:trHeight w:val="421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B68D8" w:rsidRPr="00BC7328" w:rsidRDefault="00BB68D8" w:rsidP="00F336F1">
            <w:pPr>
              <w:jc w:val="center"/>
              <w:rPr>
                <w:b/>
                <w:bCs/>
                <w:i/>
                <w:iCs/>
              </w:rPr>
            </w:pPr>
            <w:r w:rsidRPr="00BC7328">
              <w:rPr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46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68D8" w:rsidRPr="00A57298" w:rsidRDefault="00BB68D8" w:rsidP="00F336F1">
            <w:pPr>
              <w:rPr>
                <w:b/>
                <w:bCs/>
                <w:i/>
                <w:iCs/>
              </w:rPr>
            </w:pP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color w:val="000000"/>
                <w:sz w:val="20"/>
                <w:szCs w:val="20"/>
              </w:rPr>
            </w:pPr>
            <w:r w:rsidRPr="00BC7328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Se verifică:</w:t>
            </w:r>
          </w:p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valorile din documentele justificative depuse cu cele menţionate în cererea de prefinanţare;</w:t>
            </w:r>
          </w:p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corectitudinea calculelor din cererea de prefinanţare </w:t>
            </w:r>
            <w:r w:rsidRPr="00ED1D53">
              <w:rPr>
                <w:bCs/>
                <w:color w:val="000000"/>
                <w:sz w:val="20"/>
                <w:szCs w:val="20"/>
              </w:rPr>
              <w:t>şi documentele justificative;</w:t>
            </w:r>
          </w:p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încadrarea în bugetul aprobat pe categoria respectivă de cheltuieli în contractul de finanţare. </w:t>
            </w:r>
          </w:p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 xml:space="preserve">Dacă acestea nu corespund </w:t>
            </w:r>
            <w:r>
              <w:rPr>
                <w:sz w:val="20"/>
                <w:szCs w:val="20"/>
              </w:rPr>
              <w:t>se va</w:t>
            </w:r>
            <w:r w:rsidRPr="00602D08">
              <w:rPr>
                <w:sz w:val="20"/>
                <w:szCs w:val="20"/>
              </w:rPr>
              <w:t xml:space="preserve"> bifa cu un “X” în căsuţa “Nu” </w:t>
            </w:r>
            <w:r>
              <w:rPr>
                <w:sz w:val="20"/>
                <w:szCs w:val="20"/>
              </w:rPr>
              <w:t xml:space="preserve">şi  se va recalcula suma solicitată la prefinanţare. Cererea de  prefinanţare va fi </w:t>
            </w:r>
            <w:r w:rsidRPr="006C16C2">
              <w:rPr>
                <w:sz w:val="20"/>
                <w:szCs w:val="20"/>
              </w:rPr>
              <w:t>suspendată</w:t>
            </w:r>
            <w:r>
              <w:rPr>
                <w:sz w:val="20"/>
                <w:szCs w:val="20"/>
              </w:rPr>
              <w:t xml:space="preserve"> până la depunerea, în termen, de către beneficiar a cererii de prefinanţare refăcută.</w:t>
            </w:r>
          </w:p>
          <w:p w:rsidR="00BB68D8" w:rsidRPr="00AF6BE3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Dacă cererea de prefinanțare  nu este refăcută în termen se vor aproba numai sumele solicitate în mod corect.</w:t>
            </w:r>
          </w:p>
        </w:tc>
      </w:tr>
      <w:tr w:rsidR="00BB68D8" w:rsidRPr="00BC7328" w:rsidTr="00BB68D8">
        <w:trPr>
          <w:trHeight w:val="300"/>
          <w:jc w:val="center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jc w:val="center"/>
              <w:rPr>
                <w:bCs/>
                <w:color w:val="000000"/>
              </w:rPr>
            </w:pPr>
            <w:r w:rsidRPr="00BC7328">
              <w:rPr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2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8D8" w:rsidRPr="00BC7328" w:rsidRDefault="00BB68D8" w:rsidP="00F336F1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B68D8" w:rsidRPr="00A57298" w:rsidRDefault="00BB68D8" w:rsidP="00F336F1">
            <w:pPr>
              <w:jc w:val="both"/>
              <w:rPr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8D8" w:rsidRPr="00BC7328" w:rsidRDefault="00BB68D8" w:rsidP="00F336F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8D8" w:rsidRPr="00BC7328" w:rsidRDefault="00BB68D8" w:rsidP="00F336F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Se verifică:</w:t>
            </w:r>
          </w:p>
          <w:p w:rsidR="00BB68D8" w:rsidRDefault="00BB68D8" w:rsidP="00F336F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completarea corectă a cererii de prefinanţare şi calcularea corectă a sumei solicitate din care au fost deduse sumele primite în cererile anterioare de prefinanţare ce nu au fost cheltuite şi deduse prin cereri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de rambursare aferente cererilor de prefinanţare. </w:t>
            </w:r>
          </w:p>
          <w:p w:rsidR="00BB68D8" w:rsidRDefault="00BB68D8" w:rsidP="00F336F1">
            <w:pPr>
              <w:jc w:val="both"/>
              <w:rPr>
                <w:sz w:val="20"/>
                <w:szCs w:val="20"/>
              </w:rPr>
            </w:pPr>
            <w:r w:rsidRPr="00602D08">
              <w:rPr>
                <w:sz w:val="20"/>
                <w:szCs w:val="20"/>
              </w:rPr>
              <w:t xml:space="preserve">Dacă acestea nu corespund </w:t>
            </w:r>
            <w:r>
              <w:rPr>
                <w:sz w:val="20"/>
                <w:szCs w:val="20"/>
              </w:rPr>
              <w:t>se va</w:t>
            </w:r>
            <w:r w:rsidRPr="00602D08">
              <w:rPr>
                <w:sz w:val="20"/>
                <w:szCs w:val="20"/>
              </w:rPr>
              <w:t xml:space="preserve"> bifa cu un “X” în căsuţa “Nu” </w:t>
            </w:r>
            <w:r>
              <w:rPr>
                <w:sz w:val="20"/>
                <w:szCs w:val="20"/>
              </w:rPr>
              <w:t xml:space="preserve">şi  se va solicita beneficiarului refacerea cererii de prefinanţare. Cererea de prefinanţare va fi </w:t>
            </w:r>
            <w:r w:rsidRPr="006C16C2">
              <w:rPr>
                <w:sz w:val="20"/>
                <w:szCs w:val="20"/>
              </w:rPr>
              <w:t>suspendată</w:t>
            </w:r>
            <w:r>
              <w:rPr>
                <w:sz w:val="20"/>
                <w:szCs w:val="20"/>
              </w:rPr>
              <w:t xml:space="preserve"> până la depunerea, în termen, de către beneficiar cererii de prefinanţare refăcută .</w:t>
            </w:r>
          </w:p>
          <w:p w:rsidR="00BB68D8" w:rsidRPr="00BC7328" w:rsidRDefault="00BB68D8" w:rsidP="00F336F1">
            <w:pPr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  <w:sz w:val="20"/>
                <w:szCs w:val="20"/>
              </w:rPr>
              <w:t>Dacă cererea de prefinanțare  nu este refăcută în termen se vor aproba numai sumele solicitate în mod corect.</w:t>
            </w:r>
          </w:p>
        </w:tc>
      </w:tr>
      <w:bookmarkEnd w:id="0"/>
    </w:tbl>
    <w:p w:rsidR="00BB68D8" w:rsidRPr="00D535B6" w:rsidRDefault="00BB68D8" w:rsidP="00BB68D8">
      <w:pPr>
        <w:rPr>
          <w:vanish/>
        </w:rPr>
      </w:pPr>
    </w:p>
    <w:tbl>
      <w:tblPr>
        <w:tblpPr w:leftFromText="180" w:rightFromText="180" w:vertAnchor="text" w:horzAnchor="margin" w:tblpXSpec="center" w:tblpY="161"/>
        <w:tblW w:w="526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8"/>
        <w:gridCol w:w="3988"/>
      </w:tblGrid>
      <w:tr w:rsidR="00BB68D8" w:rsidRPr="00BC7328" w:rsidTr="00BB68D8">
        <w:trPr>
          <w:trHeight w:val="30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8D8" w:rsidRPr="00D44E2E" w:rsidRDefault="00BB68D8" w:rsidP="00BB68D8">
            <w:pPr>
              <w:spacing w:line="360" w:lineRule="auto"/>
              <w:ind w:right="-69"/>
              <w:rPr>
                <w:b/>
                <w:sz w:val="20"/>
                <w:szCs w:val="20"/>
              </w:rPr>
            </w:pPr>
            <w:r w:rsidRPr="00D44E2E">
              <w:rPr>
                <w:b/>
                <w:sz w:val="20"/>
                <w:szCs w:val="20"/>
              </w:rPr>
              <w:t>Plată aprobată pentru suma de ................................ lei</w:t>
            </w:r>
            <w:r>
              <w:rPr>
                <w:b/>
                <w:sz w:val="20"/>
                <w:szCs w:val="20"/>
              </w:rPr>
              <w:t xml:space="preserve"> din care FEDR = ……….., BS = ………….</w:t>
            </w:r>
          </w:p>
          <w:p w:rsidR="00BB68D8" w:rsidRPr="001504A7" w:rsidRDefault="00BB68D8" w:rsidP="00BB68D8">
            <w:pPr>
              <w:spacing w:line="360" w:lineRule="auto"/>
              <w:ind w:right="-69"/>
              <w:rPr>
                <w:sz w:val="20"/>
                <w:szCs w:val="20"/>
              </w:rPr>
            </w:pPr>
            <w:r w:rsidRPr="001504A7">
              <w:rPr>
                <w:b/>
                <w:sz w:val="20"/>
                <w:szCs w:val="20"/>
              </w:rPr>
              <w:t>Plată suspendată pentru suma de .......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504A7">
              <w:rPr>
                <w:b/>
                <w:sz w:val="20"/>
                <w:szCs w:val="20"/>
              </w:rPr>
              <w:t>..................... lei din care FEDR = ……….., BS = ………….</w:t>
            </w:r>
          </w:p>
          <w:p w:rsidR="00BB68D8" w:rsidRPr="001504A7" w:rsidRDefault="00BB68D8" w:rsidP="00BB68D8">
            <w:pPr>
              <w:spacing w:line="360" w:lineRule="auto"/>
              <w:ind w:right="-69"/>
              <w:rPr>
                <w:sz w:val="20"/>
                <w:szCs w:val="20"/>
              </w:rPr>
            </w:pPr>
            <w:r w:rsidRPr="001504A7">
              <w:rPr>
                <w:sz w:val="20"/>
                <w:szCs w:val="20"/>
              </w:rPr>
              <w:t>Motivele suspendării acestei plăţi sunt:</w:t>
            </w:r>
          </w:p>
          <w:p w:rsidR="00BB68D8" w:rsidRPr="001504A7" w:rsidRDefault="00BB68D8" w:rsidP="00BB68D8">
            <w:pPr>
              <w:numPr>
                <w:ilvl w:val="0"/>
                <w:numId w:val="1"/>
              </w:num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1504A7">
              <w:rPr>
                <w:sz w:val="20"/>
                <w:szCs w:val="20"/>
              </w:rPr>
              <w:t>................................................</w:t>
            </w:r>
          </w:p>
          <w:p w:rsidR="00BB68D8" w:rsidRPr="001504A7" w:rsidRDefault="00BB68D8" w:rsidP="00BB68D8">
            <w:pPr>
              <w:numPr>
                <w:ilvl w:val="0"/>
                <w:numId w:val="1"/>
              </w:num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1504A7">
              <w:rPr>
                <w:sz w:val="20"/>
                <w:szCs w:val="20"/>
              </w:rPr>
              <w:t>................................................</w:t>
            </w:r>
          </w:p>
          <w:p w:rsidR="00BB68D8" w:rsidRDefault="00BB68D8" w:rsidP="00BB68D8">
            <w:pPr>
              <w:spacing w:line="360" w:lineRule="auto"/>
              <w:ind w:right="-69"/>
              <w:rPr>
                <w:sz w:val="20"/>
                <w:szCs w:val="20"/>
              </w:rPr>
            </w:pPr>
            <w:r w:rsidRPr="001504A7">
              <w:rPr>
                <w:sz w:val="20"/>
                <w:szCs w:val="20"/>
              </w:rPr>
              <w:t>Menţionăm că această suspendare va fi ridicată în momentul soluţionării cauzelor acesteia.</w:t>
            </w:r>
          </w:p>
          <w:p w:rsidR="00BB68D8" w:rsidRDefault="00BB68D8" w:rsidP="00BB68D8">
            <w:pPr>
              <w:spacing w:line="360" w:lineRule="auto"/>
              <w:ind w:right="-69"/>
              <w:rPr>
                <w:b/>
                <w:sz w:val="20"/>
                <w:szCs w:val="20"/>
              </w:rPr>
            </w:pPr>
            <w:r w:rsidRPr="00D44E2E">
              <w:rPr>
                <w:b/>
                <w:sz w:val="20"/>
                <w:szCs w:val="20"/>
              </w:rPr>
              <w:t>Plată respinsă pentru su</w:t>
            </w:r>
            <w:r>
              <w:rPr>
                <w:b/>
                <w:sz w:val="20"/>
                <w:szCs w:val="20"/>
              </w:rPr>
              <w:t>ma de ……………………</w:t>
            </w:r>
            <w:r w:rsidRPr="00D44E2E">
              <w:rPr>
                <w:b/>
                <w:sz w:val="20"/>
                <w:szCs w:val="20"/>
              </w:rPr>
              <w:t>... lei</w:t>
            </w:r>
          </w:p>
          <w:p w:rsidR="00BB68D8" w:rsidRPr="00BC7328" w:rsidRDefault="00BB68D8" w:rsidP="00BB68D8">
            <w:pPr>
              <w:spacing w:line="360" w:lineRule="auto"/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Motivele respingerii acestei plăţi sunt:</w:t>
            </w:r>
          </w:p>
          <w:p w:rsidR="00BB68D8" w:rsidRDefault="00BB68D8" w:rsidP="00BB68D8">
            <w:pPr>
              <w:numPr>
                <w:ilvl w:val="0"/>
                <w:numId w:val="1"/>
              </w:num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................................................</w:t>
            </w:r>
          </w:p>
          <w:p w:rsidR="00BB68D8" w:rsidRDefault="00BB68D8" w:rsidP="00BB68D8">
            <w:pPr>
              <w:numPr>
                <w:ilvl w:val="0"/>
                <w:numId w:val="1"/>
              </w:num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 xml:space="preserve">................................................   </w:t>
            </w:r>
          </w:p>
          <w:p w:rsidR="00BB68D8" w:rsidRDefault="00BB68D8" w:rsidP="00BB68D8">
            <w:pPr>
              <w:spacing w:line="360" w:lineRule="auto"/>
              <w:ind w:right="-69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Diferenţă între OI şi AM pentru suma de </w:t>
            </w:r>
            <w:r w:rsidRPr="00D44E2E">
              <w:rPr>
                <w:b/>
                <w:sz w:val="20"/>
                <w:szCs w:val="20"/>
              </w:rPr>
              <w:t>................................ lei</w:t>
            </w:r>
            <w:r>
              <w:rPr>
                <w:b/>
                <w:sz w:val="20"/>
                <w:szCs w:val="20"/>
              </w:rPr>
              <w:t xml:space="preserve"> din care FEDR = ……….., BS = ………….</w:t>
            </w:r>
          </w:p>
          <w:p w:rsidR="00BB68D8" w:rsidRPr="00206AEC" w:rsidRDefault="00BB68D8" w:rsidP="00BB68D8">
            <w:p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206AEC">
              <w:rPr>
                <w:sz w:val="20"/>
                <w:szCs w:val="20"/>
              </w:rPr>
              <w:t xml:space="preserve">Motive: ……………………………….. </w:t>
            </w:r>
            <w:r>
              <w:rPr>
                <w:sz w:val="22"/>
                <w:szCs w:val="22"/>
              </w:rPr>
              <w:t>(Se completează doar la nivelul autorităţii de management)</w:t>
            </w:r>
          </w:p>
          <w:p w:rsidR="00BB68D8" w:rsidRPr="006433F1" w:rsidRDefault="00BB68D8" w:rsidP="00BB68D8">
            <w:pPr>
              <w:ind w:right="-69"/>
              <w:rPr>
                <w:b/>
                <w:bCs/>
                <w:sz w:val="22"/>
                <w:szCs w:val="22"/>
              </w:rPr>
            </w:pPr>
            <w:r w:rsidRPr="00BC7328">
              <w:rPr>
                <w:b/>
                <w:bCs/>
                <w:sz w:val="22"/>
                <w:szCs w:val="22"/>
              </w:rPr>
              <w:t>Verificarea administrat</w:t>
            </w:r>
            <w:r>
              <w:rPr>
                <w:b/>
                <w:bCs/>
                <w:sz w:val="22"/>
                <w:szCs w:val="22"/>
              </w:rPr>
              <w:t xml:space="preserve">ivă a cererii de prefinanţare a </w:t>
            </w:r>
            <w:r w:rsidRPr="00BC7328">
              <w:rPr>
                <w:b/>
                <w:bCs/>
                <w:sz w:val="22"/>
                <w:szCs w:val="22"/>
              </w:rPr>
              <w:t>fost efectuată de către: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</w:tr>
      <w:tr w:rsidR="00BB68D8" w:rsidRPr="00BC7328" w:rsidTr="00BB68D8">
        <w:trPr>
          <w:trHeight w:val="242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Nume şi Prenume: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 xml:space="preserve">Data:  </w:t>
            </w:r>
          </w:p>
          <w:p w:rsidR="00BB68D8" w:rsidRPr="003522A5" w:rsidRDefault="00BB68D8" w:rsidP="00BB68D8">
            <w:pPr>
              <w:ind w:right="-69"/>
              <w:rPr>
                <w:sz w:val="16"/>
                <w:szCs w:val="16"/>
              </w:rPr>
            </w:pPr>
          </w:p>
        </w:tc>
      </w:tr>
      <w:tr w:rsidR="00BB68D8" w:rsidRPr="00BC7328" w:rsidTr="00BB68D8">
        <w:trPr>
          <w:trHeight w:val="255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Fu</w:t>
            </w:r>
            <w:r w:rsidRPr="003522A5">
              <w:rPr>
                <w:b/>
                <w:sz w:val="20"/>
                <w:szCs w:val="20"/>
              </w:rPr>
              <w:t>n</w:t>
            </w:r>
            <w:r w:rsidRPr="00BC7328">
              <w:rPr>
                <w:sz w:val="20"/>
                <w:szCs w:val="20"/>
              </w:rPr>
              <w:t xml:space="preserve">cţia: Ofiţerul </w:t>
            </w:r>
            <w:r>
              <w:rPr>
                <w:sz w:val="20"/>
                <w:szCs w:val="20"/>
              </w:rPr>
              <w:t xml:space="preserve">Verificare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Semnătura: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</w:tr>
      <w:tr w:rsidR="00BB68D8" w:rsidRPr="00BC7328" w:rsidTr="00BB68D8">
        <w:trPr>
          <w:trHeight w:val="255"/>
        </w:trPr>
        <w:tc>
          <w:tcPr>
            <w:tcW w:w="2975" w:type="pct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Nume şi Prenume: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  <w:tc>
          <w:tcPr>
            <w:tcW w:w="2025" w:type="pct"/>
            <w:tcBorders>
              <w:left w:val="nil"/>
              <w:right w:val="single" w:sz="4" w:space="0" w:color="auto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 xml:space="preserve">Data:  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</w:tr>
      <w:tr w:rsidR="00BB68D8" w:rsidRPr="00BC7328" w:rsidTr="00BB68D8">
        <w:trPr>
          <w:trHeight w:val="255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 xml:space="preserve"> Funcţia: </w:t>
            </w:r>
            <w:r>
              <w:rPr>
                <w:sz w:val="20"/>
                <w:szCs w:val="20"/>
              </w:rPr>
              <w:t xml:space="preserve">Sef Serviciu Management Financiar și Control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8D8" w:rsidRDefault="00BB68D8" w:rsidP="00BB68D8">
            <w:pPr>
              <w:ind w:right="-69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>Semnătura:</w:t>
            </w:r>
          </w:p>
          <w:p w:rsidR="00BB68D8" w:rsidRPr="00BC7328" w:rsidRDefault="00BB68D8" w:rsidP="00BB68D8">
            <w:pPr>
              <w:ind w:right="-69"/>
              <w:rPr>
                <w:sz w:val="20"/>
                <w:szCs w:val="20"/>
              </w:rPr>
            </w:pPr>
          </w:p>
        </w:tc>
      </w:tr>
      <w:tr w:rsidR="00BB68D8" w:rsidRPr="00BC7328" w:rsidTr="00BB68D8">
        <w:trPr>
          <w:trHeight w:val="239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68D8" w:rsidRPr="00BC7328" w:rsidRDefault="00BB68D8" w:rsidP="00BB68D8">
            <w:pPr>
              <w:spacing w:line="360" w:lineRule="auto"/>
              <w:ind w:right="-69"/>
              <w:jc w:val="both"/>
              <w:rPr>
                <w:sz w:val="20"/>
                <w:szCs w:val="20"/>
              </w:rPr>
            </w:pPr>
            <w:r w:rsidRPr="00BC7328">
              <w:rPr>
                <w:sz w:val="20"/>
                <w:szCs w:val="20"/>
              </w:rPr>
              <w:t xml:space="preserve"> </w:t>
            </w:r>
          </w:p>
        </w:tc>
      </w:tr>
    </w:tbl>
    <w:p w:rsidR="00BB68D8" w:rsidRDefault="00BB68D8" w:rsidP="00BB68D8">
      <w:pPr>
        <w:outlineLvl w:val="0"/>
        <w:rPr>
          <w:b/>
          <w:sz w:val="28"/>
          <w:szCs w:val="28"/>
          <w:u w:val="single"/>
        </w:rPr>
      </w:pPr>
    </w:p>
    <w:p w:rsidR="00BB68D8" w:rsidRDefault="00BB68D8" w:rsidP="00BB68D8">
      <w:pPr>
        <w:outlineLvl w:val="0"/>
        <w:rPr>
          <w:b/>
          <w:sz w:val="28"/>
          <w:szCs w:val="28"/>
          <w:u w:val="single"/>
        </w:rPr>
      </w:pPr>
    </w:p>
    <w:p w:rsidR="001F4C92" w:rsidRDefault="001F4C92"/>
    <w:sectPr w:rsidR="001F4C92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1C5" w:rsidRDefault="003021C5">
      <w:r>
        <w:separator/>
      </w:r>
    </w:p>
  </w:endnote>
  <w:endnote w:type="continuationSeparator" w:id="0">
    <w:p w:rsidR="003021C5" w:rsidRDefault="0030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5B6" w:rsidRDefault="00E403A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CB3">
      <w:rPr>
        <w:noProof/>
      </w:rPr>
      <w:t>5</w:t>
    </w:r>
    <w:r>
      <w:rPr>
        <w:noProof/>
      </w:rPr>
      <w:fldChar w:fldCharType="end"/>
    </w:r>
  </w:p>
  <w:p w:rsidR="00D535B6" w:rsidRDefault="00302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1C5" w:rsidRDefault="003021C5">
      <w:r>
        <w:separator/>
      </w:r>
    </w:p>
  </w:footnote>
  <w:footnote w:type="continuationSeparator" w:id="0">
    <w:p w:rsidR="003021C5" w:rsidRDefault="00302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D4ACD"/>
    <w:multiLevelType w:val="hybridMultilevel"/>
    <w:tmpl w:val="D8AE3604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E4821"/>
    <w:multiLevelType w:val="hybridMultilevel"/>
    <w:tmpl w:val="DC309BB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F74B8"/>
    <w:multiLevelType w:val="hybridMultilevel"/>
    <w:tmpl w:val="C5DC3562"/>
    <w:lvl w:ilvl="0" w:tplc="0418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D8"/>
    <w:rsid w:val="001F4C92"/>
    <w:rsid w:val="003021C5"/>
    <w:rsid w:val="00307CB3"/>
    <w:rsid w:val="00BB68D8"/>
    <w:rsid w:val="00E4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4EE71-041E-4FE1-8D16-74448EA0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BB68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68D8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BB68D8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BB68D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99"/>
    <w:qFormat/>
    <w:rsid w:val="00BB6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 Gagiu</dc:creator>
  <cp:keywords/>
  <dc:description/>
  <cp:lastModifiedBy>Anamaria Gagiu</cp:lastModifiedBy>
  <cp:revision>3</cp:revision>
  <dcterms:created xsi:type="dcterms:W3CDTF">2017-03-01T11:44:00Z</dcterms:created>
  <dcterms:modified xsi:type="dcterms:W3CDTF">2017-03-01T13:51:00Z</dcterms:modified>
</cp:coreProperties>
</file>